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463</w:t>
      </w:r>
    </w:p>
    <w:p>
      <w:r>
        <w:t>Bundesgericht (BGE), 1991-11-12, DE</w:t>
      </w:r>
    </w:p>
    <w:p>
      <w:r>
        <w:rPr>
          <w:b/>
        </w:rPr>
        <w:t xml:space="preserve">Quelle: </w:t>
      </w:r>
      <w:r>
        <w:t>https://mcp.opencaselaw.ch/entscheid/bge_117 II 463</w:t>
      </w:r>
    </w:p>
    <w:p>
      <w:r>
        <w:t>FR: ATF 117 II 463</w:t>
      </w:r>
    </w:p>
    <w:p>
      <w:r>
        <w:t>IT: DTF 117 II 463</w:t>
      </w:r>
    </w:p>
    <w:p>
      <w:pPr>
        <w:pStyle w:val="Heading2"/>
      </w:pPr>
      <w:r>
        <w:t>Regeste</w:t>
      </w:r>
    </w:p>
    <w:p>
      <w:r>
        <w:t>Regeste Art. 9 Abs. 1 URG; Übertragung von Werknutzungsrechten. Wird das Urheberrecht übertragen, geht die ausschliessliche Rechtsmacht auf den Erwerber über. Vom nicht mehr Berechtigten können auch gutgläubig keine Nutzungsbefugnisse erworben werden. Art. 167 OR vermag daran nichts zu ändern (E. 3).</w:t>
      </w:r>
    </w:p>
    <w:p>
      <w:pPr>
        <w:pStyle w:val="Heading2"/>
      </w:pPr>
      <w:r>
        <w:t>Erwägungen</w:t>
      </w:r>
    </w:p>
    <w:p>
      <w:r>
        <w:rPr>
          <w:b/>
        </w:rPr>
        <w:t>E. 3</w:t>
      </w:r>
    </w:p>
    <w:p>
      <w:r>
        <w:t>Die Werknutzungsrechte des Urhebers, wie sie hier zur Beurteilung stehen, sind nach geltendem schweizerischen Recht ( Art. 9 Abs. 1 URG ) übertragbar. Daran soll nach dem gegenwärtigen Stand der Diskussion auch de lege ferenda festgehalten werden, nachdem vorübergehend erwogen worden ist, die Urheberrechte von einer Übertragung allgemein auszuschliessen und - nach deutschem und österreichischem Vorbild - lediglich die Einräumung von Nutzungsrechten zu gestatten (s. Botschaft des Bundesrates vom 19. Juni 1989 zu einem Bundesgesetz über das Urheberrecht und verwandte Schutzrechte, BBl 1989 III 533f.). Zulässig ist dabei gemäss allgemeinen Grundsätzen auch eine bloss fiduziarische Rechtsübertragung. Sie führt zum vollen Rechtserwerb des Fiduziars, sofern sie ernsthaft gewollt und nicht bloss simuliert ist. Der Fiduziar wird dadurch gegenüber Dritten, die sich um die internen Rechtsbeziehungen zwischen Treugeber und Treuhänder nicht zu kümmern haben ( BGE 115 II 471 ), als Rechtsträger legitimiert und zu Verfügungen berechtigt ( BGE 85 II 99 ; JÄGGI/GAUCH, N. 188 ff. zu Art. 18 OR ; KRAMER, N. 128 zu Art. 18 OR ; WIEGAND, Fiduziarische Sicherungsgeschäfte, BGE 117 II 463 S. 465 ZBJV 116/1980, S. 541 f.). Treuhänderische Rechtsübertragungen in diesem Sinne werden regelmässig auch auf die monopolistisch konzipierten Verwertungsgesellschaften vorgenommen (ANGELA MAUHS, Der Wahrnehmungsvertrag, UFITA-Schriftenreihe 96/1990, S. 18 f.). Das Urheberrecht wirkt absolut, d.h. gegenüber jedermann. Wird es übertragen, geht die ausschliessliche Rechtsmacht auf den Erwerber über; im Treuhandverhältnis gilt dies jedenfalls für die Dauer der Fiduzia. Das bedeutet zum einen, dass der Erwerber das Recht ebenfalls gegenüber jedermann durchsetzen kann, zum andern aber auch, dass der Veräusserer mit der Begebung der Rechtszuständigkeit von weiteren Verfügungen über das Recht ausgeschlossen wird und namentlich nicht mehr berechtigt ist, weitere Nutzungsbefugnisse einzuräumen (ANGELA MAUHS, a.a.O., S. 107 ff.). Mangels eines durch Besitz (wie z.B. in Art. 714 Abs. 2 ZGB ) oder Registereintrag (wie z.B. in Art. 973 ZGB oder Art. 33 Abs. 4 PatG ) begründeten Rechtsscheins können auch gutgläubig keine Rechte vom nicht oder nicht mehr Berechtigten erworben werden (Erläuterungen zum Vorentwurf II für ein revidiertes Urheberrechtsgesetz vom 1. Mai 1974, S. 25; RIKLIN, Das Urheberrecht als individuelles Herrschaftsrecht und seine Stellung im Rahmen der zentralen Wahrnehmung urheberrechtlicher Befugnisse sowie der Kunstförderung, Freiburg 1978, S. 121; TROLLER, Der gute Glaube im gewerblichen Rechtsschutz und Urheberrecht, SJZ 46/1950, S. 205). Insoweit unterscheidet sich das Urheberrecht nicht vom Obligationenrecht. Auch danach ist eine zweite Zession bei gültiger Erstabtretung unwirksam, selbst wenn der Zweitzessionar von der früheren Abtretung keine Kenntnis hat und daher das vermeintliche Recht gutgläubig erwirbt (VON TUHR/ESCHER, Allgemeiner Teil des schweizerischen Obligationenrechts, Band II, S. 338). An diesem Ergebnis vermag der vom Kantonsgericht angewandte Regelungsgedanke von Art. 167 OR nichts zu ändern. Diese Bestimmung ordnet weder die Aktivlegitimation an einer Forderung noch die Befugnis zur Begründung von Schuldverhältnissen, sondern ist ausschliesslich eine Schutzbestimmung zugunsten des in gutem Glauben an einen früheren Gläubiger zahlenden Schuldners ( BGE 56 II 368 ). Im vorliegenden Fall hat Armin Brunner der Klägerin nicht eine Forderung gegen die Beklagten abgetreten, sondern ein absolutes Recht, aus welchem die Klägerin eine Forderung ableitet, die ihr selbst und unmittelbar aus der Verletzung dieses Rechts erwachsen BGE 117 II 463 S. 466 sein soll. Diese Forderung aber konnte nicht gegen ihren Willen mit einer Leistung an Brunner getilgt werden, und zwar unabhängig davon, ob die Leistung gut- oder bösgläubig bewirkt wurde. Art. 167 OR ist auf diesen Sachverhalt auch sinngemäss nicht anwendbar. Haben demnach die Beklagten das der Klägerin zustehende Urheberrecht verletzt, können sie sich ihrer Entschädigungspflicht nicht mit der Begründung entziehen, gutgläubig vom Rechtsvorgänger der Berechtigten eine Nutzungsbefugnis zugestanden erhalten und dafür eine Vergütung bezahlt zu haben. Soweit der angefochtene Entscheid der Leistung der Beklagten an den Urheber des aufgeführten Werkes befreiende Wirkung im Verhältnis zur Klägerin als Rechtsinhaberin zuspricht, verletzt er Bundesrecht. Zur Rechtsnatur der von der Klägerin geforderten Entschädigung wie auch zur streitigen Höhe, insbesondere zum anwendbaren Tarif und den massgebenden Bemessungsgrundlagen, hat sich die Vorinstanz noch nicht geäussert. Es ist ihr Gelegenheit zu geben, dies nachzuholen. Die Streitsache ist daher zu neuer Entscheidung im Sinne der Erwägungen ans Kantonsgericht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